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F7" w:rsidRPr="00275BF7" w:rsidRDefault="00275BF7" w:rsidP="00275BF7">
      <w:pPr>
        <w:pStyle w:val="Kop1"/>
        <w:numPr>
          <w:ilvl w:val="0"/>
          <w:numId w:val="0"/>
        </w:numPr>
        <w:tabs>
          <w:tab w:val="left" w:pos="708"/>
        </w:tabs>
        <w:rPr>
          <w:b/>
        </w:rPr>
      </w:pPr>
      <w:bookmarkStart w:id="0" w:name="_GoBack"/>
      <w:bookmarkEnd w:id="0"/>
      <w:r w:rsidRPr="00275BF7">
        <w:rPr>
          <w:b/>
        </w:rPr>
        <w:t>Bijlage K: Beperking uitstoot broeikasgas</w:t>
      </w:r>
    </w:p>
    <w:p w:rsidR="00275BF7" w:rsidRDefault="00275BF7" w:rsidP="00275BF7">
      <w:pPr>
        <w:rPr>
          <w:sz w:val="22"/>
          <w:szCs w:val="22"/>
          <w:highlight w:val="green"/>
        </w:rPr>
      </w:pPr>
    </w:p>
    <w:p w:rsidR="00275BF7" w:rsidRDefault="00275BF7" w:rsidP="00275BF7">
      <w:pPr>
        <w:rPr>
          <w:sz w:val="22"/>
          <w:szCs w:val="22"/>
        </w:rPr>
      </w:pPr>
      <w:r>
        <w:rPr>
          <w:sz w:val="22"/>
          <w:szCs w:val="22"/>
        </w:rPr>
        <w:t xml:space="preserve">Deze bijlage behoort bij eis </w:t>
      </w:r>
      <w:r>
        <w:rPr>
          <w:sz w:val="22"/>
          <w:szCs w:val="22"/>
          <w:highlight w:val="lightGray"/>
        </w:rPr>
        <w:t>1.11.2</w:t>
      </w:r>
      <w:r>
        <w:rPr>
          <w:sz w:val="22"/>
          <w:szCs w:val="22"/>
        </w:rPr>
        <w:t xml:space="preserve"> en geldt alleen voor telers met consumptieaardappelen. </w:t>
      </w:r>
    </w:p>
    <w:p w:rsidR="00275BF7" w:rsidRDefault="00275BF7" w:rsidP="00275BF7">
      <w:pPr>
        <w:rPr>
          <w:sz w:val="22"/>
          <w:szCs w:val="22"/>
        </w:rPr>
      </w:pPr>
      <w:r>
        <w:rPr>
          <w:sz w:val="22"/>
          <w:szCs w:val="22"/>
        </w:rPr>
        <w:t>Vink hieronder minimaal 1 maatregel uit minstens 3 van de 4 categorieën aan, waarmee u de uitstoot van broeikasgassen op uw bedrijf beperkt:</w:t>
      </w:r>
    </w:p>
    <w:p w:rsidR="00275BF7" w:rsidRDefault="00275BF7" w:rsidP="00275BF7">
      <w:pPr>
        <w:rPr>
          <w:rFonts w:cs="Arial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534"/>
        <w:gridCol w:w="7512"/>
        <w:gridCol w:w="1276"/>
      </w:tblGrid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Van toepassing</w:t>
            </w: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Optimalisatie kunstmestgebruik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maakt gebruik van externe adviseurs om de bemesting te optimaliseren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73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maakt regelmatig een organische stof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8581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 past technieken toe om het kunstmestgebruik te optimaliseren (zoals bladsteeltjes- </w:t>
            </w:r>
          </w:p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onderzoek, metingen met sensoren, bodemscans, 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95614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past groenbemesting toe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0700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voert organisch materiaal aan (compost, dierlijke mest, 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9119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122F6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U gebruikt kunstmeststoffen met "slow-release", lage "Carbon footprint" of </w:t>
            </w:r>
          </w:p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denitrificatieremmers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9659C4" w:rsidP="00275BF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98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F6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Elektriciteitsbesparing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 gekoelde opslagruimtes zijn goed geïsoleerd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4971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past warmte recuperatie of gebruik van restwarmte toe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3298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 bedrijfsgebouwen wordt natuurlijk verlichting of spaarlampen gebruikt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1079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Ventilatiesystemen zijn energie-zuinig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3725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Toepassing automatisch licht-uit schakelaar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84267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Brandstofbesparingen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 past meerdere activiteiten in één werkgang toe (bijv. poten + aanaarden)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157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Rationeel gebruik van gemotoriseerde toestellen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00352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Regelmatig onderhoud van landbouwmachines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1221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Zuinig rijden (gebruik technische kenmerken van de motor, toerental zo laag mogelijk, 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23926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Aangepaste keuze van apparatuur (luchtdruk in banden, combinatie tractor-werktuig, 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5577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Vermijd over-mechanisatie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19726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Aangepaste indeling en uitrusting voor efficiënt verkeer van voertuigen (automatische   </w:t>
            </w:r>
          </w:p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deuren, radar, ...)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1679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Optimaliseren van de oriëntatie van nieuwe gebouwen (oost-west)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6813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Gebruik van de eco-stand van de aftakas bij tractoren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4261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Gebruik minder zware grondbewerkingstechnieken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09096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122F6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Vergroten gebruik hernieuwbare energie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Inkoop duurzame energie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60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Productie duurzame energie d.m.v. zonnepanelen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93573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122F6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Productie duurzame energie d.m.v. windmolen(s)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96262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Productie duurzame energie d.m.v. biogas-installaties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39367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75BF7" w:rsidRDefault="00275B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275BF7" w:rsidTr="00275B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F7" w:rsidRDefault="00275B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5BF7" w:rsidRDefault="00275BF7" w:rsidP="00275BF7">
      <w:pPr>
        <w:rPr>
          <w:rFonts w:ascii="Arial" w:hAnsi="Arial" w:cs="Arial"/>
          <w:b/>
          <w:sz w:val="20"/>
        </w:rPr>
      </w:pPr>
    </w:p>
    <w:p w:rsidR="00275BF7" w:rsidRDefault="00275BF7" w:rsidP="00275BF7">
      <w:pPr>
        <w:rPr>
          <w:rFonts w:ascii="Arial" w:hAnsi="Arial" w:cs="Arial"/>
          <w:b/>
          <w:sz w:val="20"/>
        </w:rPr>
      </w:pPr>
    </w:p>
    <w:p w:rsidR="00275BF7" w:rsidRDefault="00275BF7" w:rsidP="00275BF7">
      <w:pPr>
        <w:rPr>
          <w:rFonts w:ascii="Arial" w:hAnsi="Arial" w:cs="Arial"/>
          <w:b/>
          <w:sz w:val="20"/>
        </w:rPr>
      </w:pPr>
    </w:p>
    <w:p w:rsidR="00275BF7" w:rsidRDefault="00275BF7" w:rsidP="00275BF7">
      <w:pPr>
        <w:rPr>
          <w:rFonts w:ascii="Arial" w:hAnsi="Arial" w:cs="Arial"/>
          <w:b/>
          <w:sz w:val="20"/>
        </w:rPr>
        <w:sectPr w:rsidR="00275BF7">
          <w:pgSz w:w="11906" w:h="16838"/>
          <w:pgMar w:top="1418" w:right="1106" w:bottom="1134" w:left="1418" w:header="709" w:footer="709" w:gutter="0"/>
          <w:cols w:space="708"/>
        </w:sectPr>
      </w:pPr>
    </w:p>
    <w:p w:rsidR="00DC6609" w:rsidRDefault="00DC6609"/>
    <w:sectPr w:rsidR="00DC6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24C1D"/>
    <w:multiLevelType w:val="multilevel"/>
    <w:tmpl w:val="FDBCC4E6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4Xf0eRVexOPJn2Vw1QVa0dGwNY1DU6VDszHjfy1mEcTm3w7CNsHL9liyd2e6v7wWVDJZ+OfFtqR1vUZj4sY1BQ==" w:salt="rgdaDHSUrinQbyc7UHfL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7"/>
    <w:rsid w:val="00122F66"/>
    <w:rsid w:val="00275BF7"/>
    <w:rsid w:val="009659C4"/>
    <w:rsid w:val="00D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D5BE-D6B2-4E2D-B5C7-ACFDB0D4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5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Kop1">
    <w:name w:val="heading 1"/>
    <w:aliases w:val="Kop 1 Char Char"/>
    <w:basedOn w:val="Standaard"/>
    <w:next w:val="Standaard"/>
    <w:link w:val="Kop1Char1"/>
    <w:qFormat/>
    <w:rsid w:val="00275BF7"/>
    <w:pPr>
      <w:keepNext/>
      <w:numPr>
        <w:numId w:val="1"/>
      </w:numPr>
      <w:outlineLvl w:val="0"/>
    </w:pPr>
    <w:rPr>
      <w:rFonts w:ascii="Arial" w:hAnsi="Arial"/>
      <w:sz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75B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75B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75BF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i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275BF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75BF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75BF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275BF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75BF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rsid w:val="00275B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75BF7"/>
    <w:rPr>
      <w:rFonts w:eastAsia="Times New Roman" w:cs="Times New Roman"/>
      <w:b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75BF7"/>
    <w:rPr>
      <w:rFonts w:eastAsia="Times New Roman" w:cs="Times New Roman"/>
      <w:b/>
      <w:sz w:val="2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75BF7"/>
    <w:rPr>
      <w:rFonts w:eastAsia="Times New Roman" w:cs="Times New Roman"/>
      <w:b/>
      <w:i/>
      <w:sz w:val="24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semiHidden/>
    <w:rsid w:val="00275BF7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semiHidden/>
    <w:rsid w:val="00275BF7"/>
    <w:rPr>
      <w:rFonts w:ascii="Times New Roman" w:eastAsia="Times New Roman" w:hAnsi="Times New Roman" w:cs="Times New Roman"/>
      <w:i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semiHidden/>
    <w:rsid w:val="00275BF7"/>
    <w:rPr>
      <w:rFonts w:eastAsia="Times New Roman" w:cs="Times New Roman"/>
      <w:sz w:val="20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semiHidden/>
    <w:rsid w:val="00275BF7"/>
    <w:rPr>
      <w:rFonts w:eastAsia="Times New Roman" w:cs="Times New Roman"/>
      <w:i/>
      <w:sz w:val="20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semiHidden/>
    <w:rsid w:val="00275BF7"/>
    <w:rPr>
      <w:rFonts w:eastAsia="Times New Roman" w:cs="Times New Roman"/>
      <w:b/>
      <w:i/>
      <w:sz w:val="18"/>
      <w:szCs w:val="20"/>
      <w:lang w:eastAsia="nl-NL"/>
    </w:rPr>
  </w:style>
  <w:style w:type="character" w:customStyle="1" w:styleId="Kop1Char1">
    <w:name w:val="Kop 1 Char1"/>
    <w:aliases w:val="Kop 1 Char Char Char"/>
    <w:basedOn w:val="Standaardalinea-lettertype"/>
    <w:link w:val="Kop1"/>
    <w:locked/>
    <w:rsid w:val="00275BF7"/>
    <w:rPr>
      <w:rFonts w:eastAsia="Times New Roman" w:cs="Times New Roman"/>
      <w:sz w:val="32"/>
      <w:szCs w:val="20"/>
      <w:lang w:eastAsia="nl-NL"/>
    </w:rPr>
  </w:style>
  <w:style w:type="table" w:styleId="Tabelraster">
    <w:name w:val="Table Grid"/>
    <w:basedOn w:val="Standaardtabel"/>
    <w:rsid w:val="00275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Aarsen-Termoshuizen, H. (Heleen)</dc:creator>
  <cp:keywords/>
  <dc:description/>
  <cp:lastModifiedBy>Jeannet Pennings</cp:lastModifiedBy>
  <cp:revision>2</cp:revision>
  <dcterms:created xsi:type="dcterms:W3CDTF">2021-07-27T11:35:00Z</dcterms:created>
  <dcterms:modified xsi:type="dcterms:W3CDTF">2021-07-27T11:35:00Z</dcterms:modified>
</cp:coreProperties>
</file>